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7" w:name="processo-nº-123424.5t8lsb"/>
    <w:p>
      <w:pPr>
        <w:pStyle w:val="Heading2"/>
      </w:pPr>
      <w:r>
        <w:t xml:space="preserve">Processo nº 1234/24.5T8LSB</w:t>
      </w:r>
    </w:p>
    <w:p>
      <w:pPr>
        <w:pStyle w:val="FirstParagraph"/>
      </w:pPr>
      <w:r>
        <w:rPr>
          <w:b/>
          <w:bCs/>
        </w:rPr>
        <w:t xml:space="preserve">Vara Cível da Comarca de Lisboa</w:t>
      </w:r>
    </w:p>
    <w:p>
      <w:pPr>
        <w:pStyle w:val="BodyText"/>
      </w:pPr>
      <w:r>
        <w:rPr>
          <w:b/>
          <w:bCs/>
        </w:rPr>
        <w:t xml:space="preserve">Autor:</w:t>
      </w:r>
      <w:r>
        <w:t xml:space="preserve"> </w:t>
      </w:r>
      <w:r>
        <w:t xml:space="preserve">Empresa de Arrendamento Comercial, Lda., pessoa coletiva número de identificação fiscal</w:t>
      </w:r>
      <w:r>
        <w:t xml:space="preserve"> </w:t>
      </w:r>
      <w:r>
        <w:rPr>
          <w:b/>
          <w:bCs/>
        </w:rPr>
        <w:t xml:space="preserve">508 123 456</w:t>
      </w:r>
      <w:r>
        <w:t xml:space="preserve">, com sede na Rua da Boavista, nº 45, 3.º Esq., 1200‑067 Lisboa, representada nos autos por seus mandatários, Dr.ª Ana Martins (OAB 12345) e Dr. Luís Pereira (OAB 67890).</w:t>
      </w:r>
    </w:p>
    <w:p>
      <w:pPr>
        <w:pStyle w:val="BodyText"/>
      </w:pPr>
      <w:r>
        <w:rPr>
          <w:b/>
          <w:bCs/>
        </w:rPr>
        <w:t xml:space="preserve">Réu:</w:t>
      </w:r>
      <w:r>
        <w:t xml:space="preserve"> </w:t>
      </w:r>
      <w:r>
        <w:t xml:space="preserve">Sr. João da Silva, pessoa singular número de identificação fiscal</w:t>
      </w:r>
      <w:r>
        <w:t xml:space="preserve"> </w:t>
      </w:r>
      <w:r>
        <w:rPr>
          <w:b/>
          <w:bCs/>
        </w:rPr>
        <w:t xml:space="preserve">213 456 789</w:t>
      </w:r>
      <w:r>
        <w:t xml:space="preserve">, residente na Avenida das Amoreiras, nº 112, 2.º Dto., 1070‑060 Lisboa.</w:t>
      </w:r>
    </w:p>
    <w:p>
      <w:pPr>
        <w:pStyle w:val="BodyText"/>
      </w:pPr>
      <w:r>
        <w:rPr>
          <w:b/>
          <w:bCs/>
        </w:rPr>
        <w:t xml:space="preserve">Juiz de Direito:</w:t>
      </w:r>
      <w:r>
        <w:t xml:space="preserve"> </w:t>
      </w:r>
      <w:r>
        <w:t xml:space="preserve">Juiz de Direito da Vara Cível de Lisboa.</w:t>
      </w:r>
    </w:p>
    <w:p>
      <w:r>
        <w:pict>
          <v:rect style="width:0;height:1.5pt" o:hralign="center" o:hrstd="t" o:hr="t"/>
        </w:pict>
      </w:r>
    </w:p>
    <w:bookmarkStart w:id="16" w:name="pedido-de-penhora-de-bens-do-réu"/>
    <w:p>
      <w:pPr>
        <w:pStyle w:val="Heading3"/>
      </w:pPr>
      <w:r>
        <w:rPr>
          <w:b/>
          <w:bCs/>
        </w:rPr>
        <w:t xml:space="preserve">PEDIDO DE PENHORA DE BENS DO RÉU</w:t>
      </w:r>
    </w:p>
    <w:p>
      <w:pPr>
        <w:pStyle w:val="FirstParagraph"/>
      </w:pPr>
      <w:r>
        <w:rPr>
          <w:b/>
          <w:bCs/>
        </w:rPr>
        <w:t xml:space="preserve">Lisboa, 15 de março de 2024</w:t>
      </w:r>
    </w:p>
    <w:p>
      <w:pPr>
        <w:pStyle w:val="BodyText"/>
      </w:pPr>
      <w:r>
        <w:t xml:space="preserve">Ex.mo Sr. Juiz de Direito da Vara Cível de Lisboa,</w:t>
      </w:r>
    </w:p>
    <w:p>
      <w:pPr>
        <w:pStyle w:val="BodyText"/>
      </w:pPr>
      <w:r>
        <w:t xml:space="preserve">A</w:t>
      </w:r>
      <w:r>
        <w:t xml:space="preserve"> </w:t>
      </w:r>
      <w:r>
        <w:rPr>
          <w:b/>
          <w:bCs/>
        </w:rPr>
        <w:t xml:space="preserve">Empresa de Arrendamento Comercial, Lda.</w:t>
      </w:r>
      <w:r>
        <w:t xml:space="preserve">, nos autos da</w:t>
      </w:r>
      <w:r>
        <w:t xml:space="preserve"> </w:t>
      </w:r>
      <w:r>
        <w:rPr>
          <w:b/>
          <w:bCs/>
        </w:rPr>
        <w:t xml:space="preserve">Ação Especial de Despejo – Arrendamento Comercial – Falta de Pagamento e Caducidade Contratual</w:t>
      </w:r>
      <w:r>
        <w:t xml:space="preserve">, que move contra o Sr. João da Silva, vem, respetuosamente, à presença de V. Exa., expor e requerer o que segue.</w:t>
      </w:r>
    </w:p>
    <w:p>
      <w:r>
        <w:pict>
          <v:rect style="width:0;height:1.5pt" o:hralign="center" o:hrstd="t" o:hr="t"/>
        </w:pict>
      </w:r>
    </w:p>
    <w:bookmarkStart w:id="9" w:name="i.-dos-factos"/>
    <w:p>
      <w:pPr>
        <w:pStyle w:val="Heading4"/>
      </w:pPr>
      <w:r>
        <w:t xml:space="preserve">I. Dos Factos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Contrato de Arrendamento Comercial</w:t>
      </w:r>
      <w:r>
        <w:t xml:space="preserve"> </w:t>
      </w:r>
      <w:r>
        <w:t xml:space="preserve">– As partes celebraram, em 10 de janeiro de 2020, contrato de arrendamento comercial relativo ao estabelecimento comercial situado na Rua da Prata, nº 78, 1150‑100 Lisboa, com prazo de vigência de 5 (cinco) anos, renovável por acordo escrito, e com pagamento de renda mensal no valor de</w:t>
      </w:r>
      <w:r>
        <w:t xml:space="preserve"> </w:t>
      </w:r>
      <w:r>
        <w:rPr>
          <w:b/>
          <w:bCs/>
        </w:rPr>
        <w:t xml:space="preserve">€ 2.500,00</w:t>
      </w:r>
      <w:r>
        <w:t xml:space="preserve"> </w:t>
      </w:r>
      <w:r>
        <w:t xml:space="preserve">(dois mil e quinhentos euros), vencida ao dia 5 de cada mês.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Incumprimento de Pagamento</w:t>
      </w:r>
      <w:r>
        <w:t xml:space="preserve"> </w:t>
      </w:r>
      <w:r>
        <w:t xml:space="preserve">– O réu deixou de pagar as rendas referentes aos meses de</w:t>
      </w:r>
      <w:r>
        <w:t xml:space="preserve"> </w:t>
      </w:r>
      <w:r>
        <w:rPr>
          <w:b/>
          <w:bCs/>
        </w:rPr>
        <w:t xml:space="preserve">julho a fevereiro de 2024</w:t>
      </w:r>
      <w:r>
        <w:t xml:space="preserve">, totalizando</w:t>
      </w:r>
      <w:r>
        <w:t xml:space="preserve"> </w:t>
      </w:r>
      <w:r>
        <w:rPr>
          <w:b/>
          <w:bCs/>
        </w:rPr>
        <w:t xml:space="preserve">8 (oito) meses de dívida</w:t>
      </w:r>
      <w:r>
        <w:t xml:space="preserve">, perfazendo a soma de</w:t>
      </w:r>
      <w:r>
        <w:t xml:space="preserve"> </w:t>
      </w:r>
      <w:r>
        <w:rPr>
          <w:b/>
          <w:bCs/>
        </w:rPr>
        <w:t xml:space="preserve">€ 20.000,00</w:t>
      </w:r>
      <w:r>
        <w:t xml:space="preserve"> </w:t>
      </w:r>
      <w:r>
        <w:t xml:space="preserve">(vinte mil euros).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Caducidade Contratual</w:t>
      </w:r>
      <w:r>
        <w:t xml:space="preserve"> </w:t>
      </w:r>
      <w:r>
        <w:t xml:space="preserve">– Nos termos do artigo 1082.º do Código Civil, a falta de pagamento de duas rendas consecutivas autoriza a resolução do contrato. Em</w:t>
      </w:r>
      <w:r>
        <w:t xml:space="preserve"> </w:t>
      </w:r>
      <w:r>
        <w:rPr>
          <w:b/>
          <w:bCs/>
        </w:rPr>
        <w:t xml:space="preserve">15 de fevereiro de 2024</w:t>
      </w:r>
      <w:r>
        <w:t xml:space="preserve">, a autora notificou o réu, por carta registada com aviso de receção, a resolução do contrato e a exigência do pagamento das rendas em atraso, juros moratórios e indemnização pelos danos causados.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Obras Não Autorizadas</w:t>
      </w:r>
      <w:r>
        <w:t xml:space="preserve"> </w:t>
      </w:r>
      <w:r>
        <w:t xml:space="preserve">– Entre 1.º e 15.º de fevereiro de 2024, o réu realizou obras de remodelação no interior do imóvel, sem prévia autorização da autora, gerando um custo de</w:t>
      </w:r>
      <w:r>
        <w:t xml:space="preserve"> </w:t>
      </w:r>
      <w:r>
        <w:rPr>
          <w:b/>
          <w:bCs/>
        </w:rPr>
        <w:t xml:space="preserve">€ 7.500,00</w:t>
      </w:r>
      <w:r>
        <w:t xml:space="preserve"> </w:t>
      </w:r>
      <w:r>
        <w:t xml:space="preserve">(sete mil e quinhentos euros), devidamente comprovado por facturas e relatórios de inspeção.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Inexistência de bens disponíveis</w:t>
      </w:r>
      <w:r>
        <w:t xml:space="preserve"> </w:t>
      </w:r>
      <w:r>
        <w:t xml:space="preserve">– O réu tem demonstrado, nos autos, que não dispõe de recursos financeiros suficientes para satisfazer a dívida, alegando dificuldades económicas e ausência de contas bancárias em seu nome. Não obstante, foram identificados bens de valor patrimonial que podem ser objeto de penhora.</w:t>
      </w:r>
    </w:p>
    <w:p>
      <w:r>
        <w:pict>
          <v:rect style="width:0;height:1.5pt" o:hralign="center" o:hrstd="t" o:hr="t"/>
        </w:pict>
      </w:r>
    </w:p>
    <w:bookmarkEnd w:id="9"/>
    <w:bookmarkStart w:id="10" w:name="ii.-do-direito"/>
    <w:p>
      <w:pPr>
        <w:pStyle w:val="Heading4"/>
      </w:pPr>
      <w:r>
        <w:t xml:space="preserve">II. Do Direito</w:t>
      </w:r>
    </w:p>
    <w:p>
      <w:pPr>
        <w:numPr>
          <w:ilvl w:val="0"/>
          <w:numId w:val="1002"/>
        </w:numPr>
      </w:pPr>
      <w:r>
        <w:t xml:space="preserve">Nos termos do</w:t>
      </w:r>
      <w:r>
        <w:t xml:space="preserve"> </w:t>
      </w:r>
      <w:r>
        <w:rPr>
          <w:b/>
          <w:bCs/>
        </w:rPr>
        <w:t xml:space="preserve">artigo 647.º e seguintes do Código de Processo Civil (CPC)</w:t>
      </w:r>
      <w:r>
        <w:t xml:space="preserve">, a penhora de bens constitui medida cautelar de garantia da execução, devendo ser decretada quando houver fundado receio de que o devedor se torne insolvente ou se desfaça de seu patrimônio.</w:t>
      </w:r>
    </w:p>
    <w:p>
      <w:pPr>
        <w:numPr>
          <w:ilvl w:val="0"/>
          <w:numId w:val="1002"/>
        </w:numPr>
      </w:pPr>
      <w:r>
        <w:t xml:space="preserve">O</w:t>
      </w:r>
      <w:r>
        <w:t xml:space="preserve"> </w:t>
      </w:r>
      <w:r>
        <w:rPr>
          <w:b/>
          <w:bCs/>
        </w:rPr>
        <w:t xml:space="preserve">artigo 1082.º do Código Civil</w:t>
      </w:r>
      <w:r>
        <w:t xml:space="preserve"> </w:t>
      </w:r>
      <w:r>
        <w:t xml:space="preserve">autoriza a resolução do contrato de arrendamento por falta de pagamento de duas rendas consecutivas, legitimando a pretensão da autora à cobrança das rendas em atraso, juros moratórios (artigo 408.º do Código Civil) e indemnização por obras não autorizadas (artigo 483.º do Código Civil).</w:t>
      </w:r>
    </w:p>
    <w:p>
      <w:pPr>
        <w:numPr>
          <w:ilvl w:val="0"/>
          <w:numId w:val="1002"/>
        </w:numPr>
      </w:pPr>
      <w:r>
        <w:t xml:space="preserve">O</w:t>
      </w:r>
      <w:r>
        <w:t xml:space="preserve"> </w:t>
      </w:r>
      <w:r>
        <w:rPr>
          <w:b/>
          <w:bCs/>
        </w:rPr>
        <w:t xml:space="preserve">artigo 409.º do Código Civil</w:t>
      </w:r>
      <w:r>
        <w:t xml:space="preserve"> </w:t>
      </w:r>
      <w:r>
        <w:t xml:space="preserve">estabelece que, em caso de incumprimento, o devedor responde pelos juros moratórios à taxa legal em vigor, atualmente</w:t>
      </w:r>
      <w:r>
        <w:t xml:space="preserve"> </w:t>
      </w:r>
      <w:r>
        <w:rPr>
          <w:b/>
          <w:bCs/>
        </w:rPr>
        <w:t xml:space="preserve">4 % (quatro por cento) ao ano</w:t>
      </w:r>
      <w:r>
        <w:t xml:space="preserve">, calculados desde a data de vencimento de cada prestação em falta até ao efetivo pagamento.</w:t>
      </w:r>
    </w:p>
    <w:p>
      <w:r>
        <w:pict>
          <v:rect style="width:0;height:1.5pt" o:hralign="center" o:hrstd="t" o:hr="t"/>
        </w:pict>
      </w:r>
    </w:p>
    <w:bookmarkEnd w:id="10"/>
    <w:bookmarkStart w:id="11" w:name="iii.-do-valor-da-dívida-e-dos-juros"/>
    <w:p>
      <w:pPr>
        <w:pStyle w:val="Heading4"/>
      </w:pPr>
      <w:r>
        <w:t xml:space="preserve">III. Do Valor da Dívida e dos Juros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t xml:space="preserve">Valor (€)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Rendas em atraso (8 meses)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20 000,00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Juros moratórios (4 % a.a., 2 meses)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133,33</w:t>
            </w:r>
          </w:p>
        </w:tc>
      </w:tr>
      <w:tr>
        <w:tc>
          <w:tcPr/>
          <w:p>
            <w:pPr>
              <w:pStyle w:val="Compact"/>
            </w:pPr>
            <w:r>
              <w:t xml:space="preserve">Indemnização por obras não autorizadas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7 500,00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Total a garantir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27 633,33</w:t>
            </w:r>
          </w:p>
        </w:tc>
      </w:tr>
    </w:tbl>
    <w:p>
      <w:pPr>
        <w:pStyle w:val="BodyText"/>
      </w:pPr>
      <w:r>
        <w:rPr>
          <w:i/>
          <w:iCs/>
        </w:rPr>
        <w:t xml:space="preserve">Os juros moratórios foram calculados com base no período de 5 de julho de 2023 a 15 de março de 2024, correspondente a 8 meses de mora, à taxa legal de 4 % ao ano.</w:t>
      </w:r>
    </w:p>
    <w:p>
      <w:r>
        <w:pict>
          <v:rect style="width:0;height:1.5pt" o:hralign="center" o:hrstd="t" o:hr="t"/>
        </w:pict>
      </w:r>
    </w:p>
    <w:bookmarkEnd w:id="11"/>
    <w:bookmarkStart w:id="12" w:name="iv.-dos-bens-a-penhorar"/>
    <w:p>
      <w:pPr>
        <w:pStyle w:val="Heading4"/>
      </w:pPr>
      <w:r>
        <w:t xml:space="preserve">IV. Dos Bens a Penhorar</w:t>
      </w:r>
    </w:p>
    <w:p>
      <w:pPr>
        <w:pStyle w:val="FirstParagraph"/>
      </w:pPr>
      <w:r>
        <w:t xml:space="preserve">A autora requer a penhora dos seguintes bens, identificados na</w:t>
      </w:r>
      <w:r>
        <w:t xml:space="preserve"> </w:t>
      </w:r>
      <w:r>
        <w:rPr>
          <w:b/>
          <w:bCs/>
        </w:rPr>
        <w:t xml:space="preserve">certidão de registo predial</w:t>
      </w:r>
      <w:r>
        <w:t xml:space="preserve"> </w:t>
      </w:r>
      <w:r>
        <w:t xml:space="preserve">e na</w:t>
      </w:r>
      <w:r>
        <w:t xml:space="preserve"> </w:t>
      </w:r>
      <w:r>
        <w:rPr>
          <w:b/>
          <w:bCs/>
        </w:rPr>
        <w:t xml:space="preserve">certidão de veículos</w:t>
      </w:r>
      <w:r>
        <w:t xml:space="preserve">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465"/>
        <w:gridCol w:w="2018"/>
        <w:gridCol w:w="1708"/>
        <w:gridCol w:w="3727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Tipo de Bem</w:t>
            </w:r>
          </w:p>
        </w:tc>
        <w:tc>
          <w:tcPr/>
          <w:p>
            <w:pPr>
              <w:pStyle w:val="Compact"/>
            </w:pPr>
            <w: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t xml:space="preserve">Valor de Avaliação (€)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Imóvel</w:t>
            </w:r>
          </w:p>
        </w:tc>
        <w:tc>
          <w:tcPr/>
          <w:p>
            <w:pPr>
              <w:pStyle w:val="Compact"/>
            </w:pPr>
            <w:r>
              <w:t xml:space="preserve">Fração autónoma nº 3, Rua da Liberdade, nº 220, 1250‑140 Lisboa</w:t>
            </w:r>
          </w:p>
        </w:tc>
        <w:tc>
          <w:tcPr/>
          <w:p>
            <w:pPr>
              <w:pStyle w:val="Compact"/>
            </w:pPr>
            <w:r>
              <w:t xml:space="preserve">120 000,00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Veículo</w:t>
            </w:r>
          </w:p>
        </w:tc>
        <w:tc>
          <w:tcPr/>
          <w:p>
            <w:pPr>
              <w:pStyle w:val="Compact"/>
            </w:pPr>
            <w:r>
              <w:t xml:space="preserve">Automóvel marca</w:t>
            </w:r>
            <w:r>
              <w:t xml:space="preserve"> </w:t>
            </w:r>
            <w:r>
              <w:rPr>
                <w:b/>
                <w:bCs/>
              </w:rPr>
              <w:t xml:space="preserve">Toyota</w:t>
            </w:r>
            <w:r>
              <w:t xml:space="preserve">, modelo</w:t>
            </w:r>
            <w:r>
              <w:t xml:space="preserve"> </w:t>
            </w:r>
            <w:r>
              <w:rPr>
                <w:b/>
                <w:bCs/>
              </w:rPr>
              <w:t xml:space="preserve">Corolla</w:t>
            </w:r>
            <w:r>
              <w:t xml:space="preserve">, matrícula</w:t>
            </w:r>
            <w:r>
              <w:t xml:space="preserve"> </w:t>
            </w:r>
            <w:r>
              <w:rPr>
                <w:b/>
                <w:bCs/>
              </w:rPr>
              <w:t xml:space="preserve">45‑AB‑67</w:t>
            </w:r>
            <w:r>
              <w:t xml:space="preserve">, ano 2018</w:t>
            </w:r>
          </w:p>
        </w:tc>
        <w:tc>
          <w:tcPr/>
          <w:p>
            <w:pPr>
              <w:pStyle w:val="Compact"/>
            </w:pPr>
            <w:r>
              <w:t xml:space="preserve">12 000,00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Conta Bancária</w:t>
            </w:r>
          </w:p>
        </w:tc>
        <w:tc>
          <w:tcPr/>
          <w:p>
            <w:pPr>
              <w:pStyle w:val="Compact"/>
            </w:pPr>
            <w:r>
              <w:t xml:space="preserve">Conta nº</w:t>
            </w:r>
            <w:r>
              <w:t xml:space="preserve"> </w:t>
            </w:r>
            <w:r>
              <w:rPr>
                <w:b/>
                <w:bCs/>
              </w:rPr>
              <w:t xml:space="preserve">PT50 0000 0000 0000 1234 5678 90</w:t>
            </w:r>
            <w:r>
              <w:t xml:space="preserve">, Banco</w:t>
            </w:r>
            <w:r>
              <w:t xml:space="preserve"> </w:t>
            </w:r>
            <w:r>
              <w:rPr>
                <w:b/>
                <w:bCs/>
              </w:rPr>
              <w:t xml:space="preserve">Banco Santander Totta</w:t>
            </w:r>
            <w:r>
              <w:t xml:space="preserve">, saldo atual</w:t>
            </w:r>
            <w:r>
              <w:t xml:space="preserve"> </w:t>
            </w:r>
            <w:r>
              <w:rPr>
                <w:b/>
                <w:bCs/>
              </w:rPr>
              <w:t xml:space="preserve">€ 1.200,00</w:t>
            </w:r>
          </w:p>
        </w:tc>
        <w:tc>
          <w:tcPr/>
          <w:p>
            <w:pPr>
              <w:pStyle w:val="Compact"/>
            </w:pPr>
            <w:r>
              <w:t xml:space="preserve">1 200,00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Equipamento</w:t>
            </w:r>
          </w:p>
        </w:tc>
        <w:tc>
          <w:tcPr/>
          <w:p>
            <w:pPr>
              <w:pStyle w:val="Compact"/>
            </w:pPr>
            <w:r>
              <w:t xml:space="preserve">Equipamento de informática (3 computadores, 2 impressoras) – avaliação</w:t>
            </w:r>
            <w:r>
              <w:t xml:space="preserve"> </w:t>
            </w:r>
            <w:r>
              <w:rPr>
                <w:b/>
                <w:bCs/>
              </w:rPr>
              <w:t xml:space="preserve">€ 4 500,00</w:t>
            </w:r>
          </w:p>
        </w:tc>
        <w:tc>
          <w:tcPr/>
          <w:p>
            <w:pPr>
              <w:pStyle w:val="Compact"/>
            </w:pPr>
            <w:r>
              <w:t xml:space="preserve">4 500,00</w:t>
            </w:r>
          </w:p>
        </w:tc>
      </w:tr>
    </w:tbl>
    <w:p>
      <w:pPr>
        <w:pStyle w:val="BodyText"/>
      </w:pPr>
      <w:r>
        <w:t xml:space="preserve">O valor total dos bens acima descritos supera amplamente o montante da dívida a garantir (27 633,33 €), constituindo garantia suficiente para a satisfação do crédito da autora.</w:t>
      </w:r>
    </w:p>
    <w:p>
      <w:r>
        <w:pict>
          <v:rect style="width:0;height:1.5pt" o:hralign="center" o:hrstd="t" o:hr="t"/>
        </w:pict>
      </w:r>
    </w:p>
    <w:bookmarkEnd w:id="12"/>
    <w:bookmarkStart w:id="13" w:name="v.-do-pedido"/>
    <w:p>
      <w:pPr>
        <w:pStyle w:val="Heading4"/>
      </w:pPr>
      <w:r>
        <w:t xml:space="preserve">V. Do Pedido</w:t>
      </w:r>
    </w:p>
    <w:p>
      <w:pPr>
        <w:pStyle w:val="FirstParagraph"/>
      </w:pPr>
      <w:r>
        <w:t xml:space="preserve">Nestes termos, a</w:t>
      </w:r>
      <w:r>
        <w:t xml:space="preserve"> </w:t>
      </w:r>
      <w:r>
        <w:rPr>
          <w:b/>
          <w:bCs/>
        </w:rPr>
        <w:t xml:space="preserve">Empresa de Arrendamento Comercial, Lda.</w:t>
      </w:r>
      <w:r>
        <w:t xml:space="preserve">, requer a V. Exa.: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A concessão de medida cautelar de penhora</w:t>
      </w:r>
      <w:r>
        <w:t xml:space="preserve"> </w:t>
      </w:r>
      <w:r>
        <w:t xml:space="preserve">sobre os bens descritos na alínea IV, nos termos do artigo 647.º e seguintes do CPC, até ao limite do crédito total da autora, ou seja,</w:t>
      </w:r>
      <w:r>
        <w:t xml:space="preserve"> </w:t>
      </w:r>
      <w:r>
        <w:rPr>
          <w:b/>
          <w:bCs/>
        </w:rPr>
        <w:t xml:space="preserve">€ 27 633,33</w:t>
      </w:r>
      <w:r>
        <w:t xml:space="preserve">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A intimação do réu, Sr. João da Silva</w:t>
      </w:r>
      <w:r>
        <w:t xml:space="preserve">, para que, no prazo de</w:t>
      </w:r>
      <w:r>
        <w:t xml:space="preserve"> </w:t>
      </w:r>
      <w:r>
        <w:rPr>
          <w:b/>
          <w:bCs/>
        </w:rPr>
        <w:t xml:space="preserve">15 (quinze) dias</w:t>
      </w:r>
      <w:r>
        <w:t xml:space="preserve">, indique bens próprios, ainda que não incluídos na lista acima, que possam garantir a execução, sob pena de prosseguimento da penhora e eventual expropriação.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A expedição de ofícios</w:t>
      </w:r>
      <w:r>
        <w:t xml:space="preserve"> </w:t>
      </w:r>
      <w:r>
        <w:t xml:space="preserve">aos registos prediais, ao Banco de Portugal e ao Instituto dos Registos e do Notariado, a fim de proceder à averiguação e formalização da penhora dos bens identificados.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A condenação do réu ao pagamento das custas processuais e dos honorários de advogado</w:t>
      </w:r>
      <w:r>
        <w:t xml:space="preserve">, nos termos do artigo 84.º do CPC.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A produção de todos os meios de prova em direito admitidos</w:t>
      </w:r>
      <w:r>
        <w:t xml:space="preserve">, nomeadamente documentos, perícias de avaliação e depoimentos, caso necessário.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A prática de todos os atos necessários à efetiva realização da penhora</w:t>
      </w:r>
      <w:r>
        <w:t xml:space="preserve">, inclusive a publicação de edital, se assim for requerido.</w:t>
      </w:r>
    </w:p>
    <w:p>
      <w:r>
        <w:pict>
          <v:rect style="width:0;height:1.5pt" o:hralign="center" o:hrstd="t" o:hr="t"/>
        </w:pict>
      </w:r>
    </w:p>
    <w:bookmarkEnd w:id="13"/>
    <w:bookmarkStart w:id="14" w:name="vi.-protesta-por-prova"/>
    <w:p>
      <w:pPr>
        <w:pStyle w:val="Heading4"/>
      </w:pPr>
      <w:r>
        <w:t xml:space="preserve">VI. Protesta por Prova</w:t>
      </w:r>
    </w:p>
    <w:p>
      <w:pPr>
        <w:pStyle w:val="FirstParagraph"/>
      </w:pPr>
      <w:r>
        <w:t xml:space="preserve">A autora protesta por todos os meios de prova em direito admitidos, especialmente a</w:t>
      </w:r>
      <w:r>
        <w:t xml:space="preserve"> </w:t>
      </w:r>
      <w:r>
        <w:rPr>
          <w:b/>
          <w:bCs/>
        </w:rPr>
        <w:t xml:space="preserve">prova documental</w:t>
      </w:r>
      <w:r>
        <w:t xml:space="preserve"> </w:t>
      </w:r>
      <w:r>
        <w:t xml:space="preserve">já acostada,</w:t>
      </w:r>
      <w:r>
        <w:t xml:space="preserve"> </w:t>
      </w:r>
      <w:r>
        <w:rPr>
          <w:b/>
          <w:bCs/>
        </w:rPr>
        <w:t xml:space="preserve">perícia de avaliação</w:t>
      </w:r>
      <w:r>
        <w:t xml:space="preserve"> </w:t>
      </w:r>
      <w:r>
        <w:t xml:space="preserve">dos bens penhoráveis e</w:t>
      </w:r>
      <w:r>
        <w:t xml:space="preserve"> </w:t>
      </w:r>
      <w:r>
        <w:rPr>
          <w:b/>
          <w:bCs/>
        </w:rPr>
        <w:t xml:space="preserve">testemunho</w:t>
      </w:r>
      <w:r>
        <w:t xml:space="preserve"> </w:t>
      </w:r>
      <w:r>
        <w:t xml:space="preserve">de peritos e terceiros.</w:t>
      </w:r>
    </w:p>
    <w:p>
      <w:r>
        <w:pict>
          <v:rect style="width:0;height:1.5pt" o:hralign="center" o:hrstd="t" o:hr="t"/>
        </w:pict>
      </w:r>
    </w:p>
    <w:bookmarkEnd w:id="14"/>
    <w:bookmarkStart w:id="15" w:name="vii.-valor-da-causa"/>
    <w:p>
      <w:pPr>
        <w:pStyle w:val="Heading4"/>
      </w:pPr>
      <w:r>
        <w:t xml:space="preserve">VII. Valor da Causa</w:t>
      </w:r>
    </w:p>
    <w:p>
      <w:pPr>
        <w:pStyle w:val="FirstParagraph"/>
      </w:pPr>
      <w:r>
        <w:t xml:space="preserve">Para efeitos de justiça, a autora atribui à presente ação o valor de</w:t>
      </w:r>
      <w:r>
        <w:t xml:space="preserve"> </w:t>
      </w:r>
      <w:r>
        <w:rPr>
          <w:b/>
          <w:bCs/>
        </w:rPr>
        <w:t xml:space="preserve">€ 27 633,33</w:t>
      </w:r>
      <w:r>
        <w:t xml:space="preserve"> </w:t>
      </w:r>
      <w:r>
        <w:t xml:space="preserve">(vinte e sete mil, seiscentos e trinta e três euros e trinta e três cêntimos), correspondente ao total da dívida a garantir.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Nestes termos,</w:t>
      </w:r>
      <w:r>
        <w:t xml:space="preserve"> </w:t>
      </w:r>
      <w:r>
        <w:t xml:space="preserve">pede e espera deferimento.</w:t>
      </w:r>
    </w:p>
    <w:p>
      <w:pPr>
        <w:pStyle w:val="BlockText"/>
      </w:pPr>
      <w:r>
        <w:rPr>
          <w:b/>
          <w:bCs/>
        </w:rPr>
        <w:t xml:space="preserve">Lisboa, 15 de março de 2024</w:t>
      </w:r>
    </w:p>
    <w:p>
      <w:pPr>
        <w:pStyle w:val="BlockText"/>
      </w:pPr>
      <w:r>
        <w:rPr>
          <w:b/>
          <w:bCs/>
        </w:rPr>
        <w:t xml:space="preserve">Pelo Autor</w:t>
      </w:r>
    </w:p>
    <w:p>
      <w:r>
        <w:pict>
          <v:rect style="width:0;height:1.5pt" o:hralign="center" o:hrstd="t" o:hr="t"/>
        </w:pict>
      </w:r>
    </w:p>
    <w:p>
      <w:pPr>
        <w:pStyle w:val="BlockText"/>
      </w:pPr>
      <w:r>
        <w:t xml:space="preserve">Dr.ª Ana Martins – OAB 12345</w:t>
      </w:r>
    </w:p>
    <w:p>
      <w:r>
        <w:pict>
          <v:rect style="width:0;height:1.5pt" o:hralign="center" o:hrstd="t" o:hr="t"/>
        </w:pict>
      </w:r>
    </w:p>
    <w:p>
      <w:pPr>
        <w:pStyle w:val="BlockText"/>
      </w:pPr>
      <w:r>
        <w:t xml:space="preserve">Dr. Luís Pereira – OAB 67890</w:t>
      </w:r>
    </w:p>
    <w:p>
      <w:pPr>
        <w:pStyle w:val="BlockText"/>
      </w:pPr>
      <w:r>
        <w:rPr>
          <w:b/>
          <w:bCs/>
        </w:rPr>
        <w:t xml:space="preserve">[Selo da empresa]</w:t>
      </w:r>
    </w:p>
    <w:bookmarkEnd w:id="15"/>
    <w:bookmarkEnd w:id="16"/>
    <w:bookmarkEnd w:id="1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2026-02-22T19:19:51Z</dcterms:created>
  <dcterms:modified xsi:type="dcterms:W3CDTF">2026-02-22T19:19:51Z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